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4E7F38"/>
          <w:sz w:val="48"/>
          <w:szCs w:val="32"/>
        </w:rPr>
        <w:id w:val="2679159"/>
        <w:docPartObj>
          <w:docPartGallery w:val="Cover Pages"/>
          <w:docPartUnique/>
        </w:docPartObj>
      </w:sdtPr>
      <w:sdtEndPr>
        <w:rPr>
          <w:rFonts w:ascii="Arial" w:eastAsiaTheme="minorHAnsi" w:hAnsi="Arial" w:cstheme="minorBidi"/>
          <w:b w:val="0"/>
          <w:bCs w:val="0"/>
          <w:color w:val="404040" w:themeColor="text1" w:themeTint="BF"/>
          <w:sz w:val="20"/>
          <w:szCs w:val="24"/>
        </w:rPr>
      </w:sdtEndPr>
      <w:sdtContent>
        <w:p w:rsidR="001E69B8" w:rsidRDefault="004C5094">
          <w:pPr>
            <w:snapToGrid w:val="0"/>
          </w:pPr>
          <w:r>
            <w:rPr>
              <w:noProof/>
            </w:rPr>
            <w:pict>
              <v:group id="_x0000_s1045" style="position:absolute;margin-left:400.05pt;margin-top:64.8pt;width:187.55pt;height:61.25pt;z-index:251664384;mso-position-horizontal-relative:page;mso-position-vertical-relative:page" coordorigin="8474,1342" coordsize="3751,1225">
                <v:shapetype id="_x0000_t202" coordsize="21600,21600" o:spt="202" path="m,l,21600r21600,l21600,xe">
                  <v:stroke joinstyle="miter"/>
                  <v:path gradientshapeok="t" o:connecttype="rect"/>
                </v:shapetype>
                <v:shape id="_x0000_s1046" type="#_x0000_t202" style="position:absolute;left:8474;top:1539;width:1981;height:815;mso-wrap-edited:f" wrapcoords="0 0 21600 0 21600 21600 0 21600 0 0" filled="f" stroked="f" strokecolor="gray">
                  <v:textbox style="mso-next-textbox:#_x0000_s1046" inset="0,0,0,0">
                    <w:txbxContent>
                      <w:p w:rsidR="001E69B8" w:rsidRDefault="00540755">
                        <w:pPr>
                          <w:snapToGrid w:val="0"/>
                          <w:contextualSpacing/>
                          <w:jc w:val="right"/>
                          <w:rPr>
                            <w:rFonts w:ascii="Calibri" w:hAnsi="Calibri"/>
                            <w:b/>
                            <w:color w:val="808080" w:themeColor="background1" w:themeShade="80"/>
                            <w:sz w:val="32"/>
                            <w:szCs w:val="32"/>
                          </w:rPr>
                        </w:pPr>
                        <w:r>
                          <w:rPr>
                            <w:rFonts w:ascii="Calibri" w:hAnsi="Calibri"/>
                            <w:b/>
                            <w:color w:val="808080" w:themeColor="background1" w:themeShade="80"/>
                            <w:sz w:val="32"/>
                            <w:szCs w:val="32"/>
                          </w:rPr>
                          <w:t>Mai</w:t>
                        </w:r>
                      </w:p>
                    </w:txbxContent>
                  </v:textbox>
                </v:shape>
                <v:shape id="_x0000_s1047" type="#_x0000_t202" style="position:absolute;left:10656;top:1342;width:1569;height:1192;mso-wrap-edited:f" wrapcoords="0 0 21600 0 21600 21600 0 21600 0 0" filled="f" stroked="f">
                  <v:textbox style="mso-next-textbox:#_x0000_s1047" inset="0,0,0,0">
                    <w:txbxContent>
                      <w:p w:rsidR="001E69B8" w:rsidRPr="001E69B8" w:rsidRDefault="00540755">
                        <w:pPr>
                          <w:snapToGrid w:val="0"/>
                          <w:contextualSpacing/>
                          <w:rPr>
                            <w:rFonts w:asciiTheme="majorHAnsi" w:hAnsiTheme="majorHAnsi"/>
                            <w:color w:val="4E7F38"/>
                            <w:sz w:val="92"/>
                            <w:szCs w:val="92"/>
                          </w:rPr>
                        </w:pPr>
                        <w:r>
                          <w:rPr>
                            <w:rFonts w:asciiTheme="majorHAnsi" w:hAnsiTheme="majorHAnsi"/>
                            <w:color w:val="4E7F38"/>
                            <w:sz w:val="92"/>
                            <w:szCs w:val="92"/>
                          </w:rPr>
                          <w:t>03</w:t>
                        </w:r>
                      </w:p>
                    </w:txbxContent>
                  </v:textbox>
                </v:shape>
                <v:shapetype id="_x0000_t32" coordsize="21600,21600" o:spt="32" o:oned="t" path="m,l21600,21600e" filled="f">
                  <v:path arrowok="t" fillok="f" o:connecttype="none"/>
                  <o:lock v:ext="edit" shapetype="t"/>
                </v:shapetype>
                <v:shape id="_x0000_s1048" type="#_x0000_t32" style="position:absolute;left:10571;top:1644;width:0;height:923;mso-wrap-edited:f" o:connectortype="straight" wrapcoords="-2147483648 0 -2147483648 20903 -2147483648 20903 -2147483648 0 -2147483648 0" strokecolor="gray" strokeweight="1.5pt"/>
                <w10:wrap anchorx="page" anchory="page"/>
              </v:group>
            </w:pict>
          </w:r>
          <w:r>
            <w:rPr>
              <w:noProof/>
            </w:rPr>
            <w:pict>
              <v:rect id="_x0000_s1044" style="position:absolute;margin-left:21.6pt;margin-top:36pt;width:552.25pt;height:17.6pt;z-index:251663360;mso-wrap-edited:f;mso-position-horizontal-relative:page;mso-position-vertical-relative:page" wrapcoords="-28 -600 -28 21000 21628 21000 21628 -600 -28 -600" fillcolor="#71b768" stroked="f" strokecolor="#4a7ebb" strokeweight="1.5pt">
                <v:fill o:detectmouseclick="t"/>
                <v:shadow opacity="22938f" offset="0"/>
                <v:textbox inset=",7.2pt,,7.2pt"/>
                <w10:wrap anchorx="page" anchory="page"/>
              </v:rect>
            </w:pict>
          </w:r>
          <w:r>
            <w:pict>
              <v:group id="_x0000_s1038" style="position:absolute;margin-left:364.5pt;margin-top:-385.7pt;width:143.25pt;height:60.75pt;z-index:251660288;mso-position-horizontal-relative:text;mso-position-vertical-relative:text" coordorigin="8895,1230" coordsize="2865,1215">
                <v:shape id="_x0000_s1039" type="#_x0000_t202" style="position:absolute;left:10290;top:1230;width:1470;height:1215" filled="f" stroked="f">
                  <v:textbox style="mso-next-textbox:#_x0000_s1039">
                    <w:txbxContent>
                      <w:p w:rsidR="001E69B8" w:rsidRDefault="001E69B8">
                        <w:pPr>
                          <w:rPr>
                            <w:color w:val="FFFFFF"/>
                            <w:sz w:val="92"/>
                            <w:szCs w:val="92"/>
                          </w:rPr>
                        </w:pPr>
                        <w:r>
                          <w:rPr>
                            <w:color w:val="FFFFFF"/>
                            <w:sz w:val="92"/>
                            <w:szCs w:val="92"/>
                          </w:rPr>
                          <w:t>08</w:t>
                        </w:r>
                      </w:p>
                    </w:txbxContent>
                  </v:textbox>
                </v:shape>
                <v:shape id="_x0000_s1040" type="#_x0000_t32" style="position:absolute;left:10290;top:1590;width:0;height:630" o:connectortype="straight" strokecolor="white" strokeweight="1.5pt"/>
                <v:shape id="_x0000_s1041" type="#_x0000_t202" style="position:absolute;left:8895;top:1455;width:1365;height:630" filled="f" stroked="f">
                  <v:textbox style="mso-next-textbox:#_x0000_s1041">
                    <w:txbxContent>
                      <w:p w:rsidR="001E69B8" w:rsidRDefault="001E69B8">
                        <w:pPr>
                          <w:jc w:val="right"/>
                          <w:rPr>
                            <w:rFonts w:ascii="Calibri" w:hAnsi="Calibri"/>
                            <w:b/>
                            <w:color w:val="FFFFFF"/>
                            <w:sz w:val="32"/>
                            <w:szCs w:val="32"/>
                          </w:rPr>
                        </w:pPr>
                        <w:r>
                          <w:rPr>
                            <w:rFonts w:ascii="Calibri" w:hAnsi="Calibri"/>
                            <w:b/>
                            <w:color w:val="FFFFFF"/>
                            <w:sz w:val="32"/>
                            <w:szCs w:val="32"/>
                          </w:rPr>
                          <w:t>Automne</w:t>
                        </w:r>
                      </w:p>
                    </w:txbxContent>
                  </v:textbox>
                </v:shape>
              </v:group>
            </w:pict>
          </w:r>
        </w:p>
        <w:p w:rsidR="00A27818" w:rsidRDefault="004C5094" w:rsidP="00A27818">
          <w:r>
            <w:rPr>
              <w:noProof/>
              <w:lang w:eastAsia="fr-FR"/>
            </w:rPr>
            <w:pict>
              <v:shape id="_x0000_s1057" type="#_x0000_t202" style="position:absolute;margin-left:-39.8pt;margin-top:649.8pt;width:522pt;height:51.5pt;z-index:251668480;mso-wrap-edited:f" wrapcoords="0 0 21600 0 21600 21600 0 21600 0 0" filled="f" stroked="f">
                <v:fill o:detectmouseclick="t"/>
                <v:textbox style="mso-next-textbox:#_x0000_s1057" inset=",7.2pt,,7.2pt">
                  <w:txbxContent>
                    <w:p w:rsidR="001E69B8" w:rsidRPr="00E268A5" w:rsidRDefault="001E69B8" w:rsidP="00601ECA">
                      <w:pPr>
                        <w:rPr>
                          <w:rFonts w:ascii="Georgia" w:hAnsi="Georgia"/>
                          <w:b/>
                          <w:i/>
                          <w:color w:val="7F7F7F" w:themeColor="text1" w:themeTint="80"/>
                          <w:sz w:val="26"/>
                        </w:rPr>
                      </w:pPr>
                      <w:r w:rsidRPr="00E268A5">
                        <w:rPr>
                          <w:rFonts w:ascii="Georgia" w:hAnsi="Georgia"/>
                          <w:b/>
                          <w:i/>
                          <w:color w:val="7F7F7F" w:themeColor="text1" w:themeTint="80"/>
                          <w:sz w:val="26"/>
                        </w:rPr>
                        <w:t>Master 1 MIAGE</w:t>
                      </w:r>
                      <w:r w:rsidRPr="00E268A5">
                        <w:rPr>
                          <w:rFonts w:ascii="Georgia" w:hAnsi="Georgia"/>
                          <w:b/>
                          <w:i/>
                          <w:color w:val="7F7F7F" w:themeColor="text1" w:themeTint="80"/>
                          <w:sz w:val="26"/>
                        </w:rPr>
                        <w:br/>
                        <w:t>Université de Picardie Jules Verne</w:t>
                      </w:r>
                    </w:p>
                  </w:txbxContent>
                </v:textbox>
                <w10:wrap type="tight"/>
              </v:shape>
            </w:pict>
          </w:r>
          <w:r w:rsidR="00E268A5">
            <w:rPr>
              <w:noProof/>
              <w:lang w:eastAsia="fr-FR"/>
            </w:rPr>
            <w:drawing>
              <wp:anchor distT="0" distB="0" distL="114300" distR="114300" simplePos="0" relativeHeight="251667456" behindDoc="0" locked="0" layoutInCell="1" allowOverlap="1">
                <wp:simplePos x="0" y="0"/>
                <wp:positionH relativeFrom="column">
                  <wp:posOffset>1691005</wp:posOffset>
                </wp:positionH>
                <wp:positionV relativeFrom="paragraph">
                  <wp:posOffset>1540510</wp:posOffset>
                </wp:positionV>
                <wp:extent cx="2603500" cy="1752600"/>
                <wp:effectExtent l="25400" t="0" r="0" b="0"/>
                <wp:wrapSquare wrapText="bothSides"/>
                <wp:docPr id="2" name="Image 2" descr="Macintosh HD:Users:Vince:Etudes:M1 Miage:Semestre 2:EIAH:Séance 2: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Vince:Etudes:M1 Miage:Semestre 2:EIAH:Séance 2:logo1.png"/>
                        <pic:cNvPicPr>
                          <a:picLocks noChangeAspect="1" noChangeArrowheads="1"/>
                        </pic:cNvPicPr>
                      </pic:nvPicPr>
                      <pic:blipFill>
                        <a:blip r:embed="rId6" cstate="print"/>
                        <a:srcRect/>
                        <a:stretch>
                          <a:fillRect/>
                        </a:stretch>
                      </pic:blipFill>
                      <pic:spPr bwMode="auto">
                        <a:xfrm>
                          <a:off x="0" y="0"/>
                          <a:ext cx="2603500" cy="1752600"/>
                        </a:xfrm>
                        <a:prstGeom prst="rect">
                          <a:avLst/>
                        </a:prstGeom>
                        <a:noFill/>
                        <a:ln w="9525">
                          <a:noFill/>
                          <a:miter lim="800000"/>
                          <a:headEnd/>
                          <a:tailEnd/>
                        </a:ln>
                      </pic:spPr>
                    </pic:pic>
                  </a:graphicData>
                </a:graphic>
              </wp:anchor>
            </w:drawing>
          </w:r>
          <w:r>
            <w:rPr>
              <w:noProof/>
              <w:lang w:eastAsia="fr-FR"/>
            </w:rPr>
            <w:pict>
              <v:rect id="_x0000_s1051" style="position:absolute;margin-left:556.35pt;margin-top:486.2pt;width:17.5pt;height:61.35pt;z-index:251665748;mso-position-horizontal-relative:page;mso-position-vertical-relative:page" wrapcoords="-900 0 -900 21337 21600 21337 21600 0 -900 0" o:regroupid="1" fillcolor="#71b768" stroked="f" strokecolor="#4a7ebb" strokeweight="1.5pt">
                <v:fill o:detectmouseclick="t"/>
                <v:shadow opacity="22938f" offset="0"/>
                <v:textbox inset=",7.2pt,,7.2pt"/>
                <w10:wrap type="tight" anchorx="page" anchory="page"/>
              </v:rect>
            </w:pict>
          </w:r>
          <w:r>
            <w:rPr>
              <w:noProof/>
              <w:lang w:eastAsia="fr-FR"/>
            </w:rPr>
            <w:pict>
              <v:rect id="_x0000_s1050" style="position:absolute;margin-left:21.6pt;margin-top:486.2pt;width:534.7pt;height:61.35pt;z-index:251665066;mso-wrap-edited:f;mso-position-horizontal-relative:page;mso-position-vertical-relative:page;v-text-anchor:bottom" wrapcoords="-30 0 -30 21073 21600 21073 21600 0 -30 0" o:regroupid="1" fillcolor="#4e7f38" stroked="f">
                <v:textbox style="mso-next-textbox:#_x0000_s1050" inset="18pt,,1in,0">
                  <w:txbxContent>
                    <w:sdt>
                      <w:sdtPr>
                        <w:rPr>
                          <w:rFonts w:asciiTheme="majorHAnsi" w:hAnsiTheme="majorHAnsi"/>
                          <w:color w:val="FFFFFF" w:themeColor="background1"/>
                          <w:sz w:val="56"/>
                          <w:szCs w:val="56"/>
                        </w:rPr>
                        <w:alias w:val="Titre"/>
                        <w:id w:val="33330453"/>
                        <w:dataBinding w:prefixMappings="xmlns:ns0='http://purl.org/dc/elements/1.1/' xmlns:ns1='http://schemas.openxmlformats.org/package/2006/metadata/core-properties' " w:xpath="/ns1:coreProperties[1]/ns0:title[1]" w:storeItemID="{6C3C8BC8-F283-45AE-878A-BAB7291924A1}"/>
                        <w:text/>
                      </w:sdtPr>
                      <w:sdtContent>
                        <w:p w:rsidR="001E69B8" w:rsidRDefault="00540755">
                          <w:pPr>
                            <w:snapToGrid w:val="0"/>
                            <w:spacing w:before="240" w:after="240"/>
                            <w:rPr>
                              <w:rFonts w:asciiTheme="majorHAnsi" w:hAnsiTheme="majorHAnsi"/>
                              <w:color w:val="FFFFFF" w:themeColor="background1"/>
                              <w:sz w:val="56"/>
                              <w:szCs w:val="56"/>
                            </w:rPr>
                          </w:pPr>
                          <w:r w:rsidRPr="00540755">
                            <w:rPr>
                              <w:rFonts w:asciiTheme="majorHAnsi" w:hAnsiTheme="majorHAnsi"/>
                              <w:color w:val="FFFFFF" w:themeColor="background1"/>
                              <w:sz w:val="56"/>
                              <w:szCs w:val="56"/>
                            </w:rPr>
                            <w:t xml:space="preserve">Résumé </w:t>
                          </w:r>
                          <w:r>
                            <w:rPr>
                              <w:rFonts w:asciiTheme="majorHAnsi" w:hAnsiTheme="majorHAnsi"/>
                              <w:color w:val="FFFFFF" w:themeColor="background1"/>
                              <w:sz w:val="56"/>
                              <w:szCs w:val="56"/>
                            </w:rPr>
                            <w:t xml:space="preserve">article </w:t>
                          </w:r>
                          <w:proofErr w:type="spellStart"/>
                          <w:r w:rsidRPr="00540755">
                            <w:rPr>
                              <w:rFonts w:asciiTheme="majorHAnsi" w:hAnsiTheme="majorHAnsi"/>
                              <w:color w:val="FFFFFF" w:themeColor="background1"/>
                              <w:sz w:val="56"/>
                              <w:szCs w:val="56"/>
                            </w:rPr>
                            <w:t>European</w:t>
                          </w:r>
                          <w:proofErr w:type="spellEnd"/>
                          <w:r w:rsidRPr="00540755">
                            <w:rPr>
                              <w:rFonts w:asciiTheme="majorHAnsi" w:hAnsiTheme="majorHAnsi"/>
                              <w:color w:val="FFFFFF" w:themeColor="background1"/>
                              <w:sz w:val="56"/>
                              <w:szCs w:val="56"/>
                            </w:rPr>
                            <w:t xml:space="preserve"> </w:t>
                          </w:r>
                          <w:proofErr w:type="spellStart"/>
                          <w:r w:rsidRPr="00540755">
                            <w:rPr>
                              <w:rFonts w:asciiTheme="majorHAnsi" w:hAnsiTheme="majorHAnsi"/>
                              <w:color w:val="FFFFFF" w:themeColor="background1"/>
                              <w:sz w:val="56"/>
                              <w:szCs w:val="56"/>
                            </w:rPr>
                            <w:t>Schoolnet</w:t>
                          </w:r>
                          <w:proofErr w:type="spellEnd"/>
                        </w:p>
                      </w:sdtContent>
                    </w:sdt>
                  </w:txbxContent>
                </v:textbox>
                <w10:wrap type="tight" anchorx="page" anchory="page"/>
              </v:rect>
            </w:pict>
          </w:r>
          <w:r>
            <w:rPr>
              <w:noProof/>
            </w:rPr>
            <w:pict>
              <v:rect id="_x0000_s1043" style="position:absolute;margin-left:33.85pt;margin-top:545.4pt;width:464.4pt;height:174.8pt;z-index:251662336;mso-position-horizontal-relative:page;mso-position-vertical-relative:page" filled="f" stroked="f">
                <v:textbox style="mso-next-textbox:#_x0000_s1043">
                  <w:txbxContent>
                    <w:sdt>
                      <w:sdtPr>
                        <w:rPr>
                          <w:rFonts w:asciiTheme="majorHAnsi" w:hAnsiTheme="majorHAnsi"/>
                          <w:color w:val="808080" w:themeColor="background1" w:themeShade="80"/>
                          <w:sz w:val="40"/>
                          <w:szCs w:val="40"/>
                        </w:rPr>
                        <w:alias w:val="Auteur"/>
                        <w:id w:val="33330454"/>
                        <w:dataBinding w:prefixMappings="xmlns:ns0='http://purl.org/dc/elements/1.1/' xmlns:ns1='http://schemas.openxmlformats.org/package/2006/metadata/core-properties' " w:xpath="/ns1:coreProperties[1]/ns0:creator[1]" w:storeItemID="{6C3C8BC8-F283-45AE-878A-BAB7291924A1}"/>
                        <w:text/>
                      </w:sdtPr>
                      <w:sdtContent>
                        <w:p w:rsidR="001E69B8" w:rsidRDefault="00540755">
                          <w:pPr>
                            <w:snapToGrid w:val="0"/>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Vincent Paré</w:t>
                          </w:r>
                        </w:p>
                      </w:sdtContent>
                    </w:sdt>
                    <w:sdt>
                      <w:sdtPr>
                        <w:rPr>
                          <w:rFonts w:asciiTheme="majorHAnsi" w:hAnsiTheme="majorHAnsi"/>
                          <w:color w:val="808080" w:themeColor="background1" w:themeShade="80"/>
                          <w:sz w:val="24"/>
                        </w:rPr>
                        <w:alias w:val="Résumé"/>
                        <w:id w:val="33330455"/>
                        <w:dataBinding w:prefixMappings="xmlns:ns0='http://schemas.microsoft.com/office/2006/coverPageProps' " w:xpath="/ns0:CoverPageProperties[1]/ns0:Abstract[1]" w:storeItemID="{55AF091B-3C7A-41E3-B477-F2FDAA23CFDA}"/>
                        <w:text/>
                      </w:sdtPr>
                      <w:sdtContent>
                        <w:p w:rsidR="001E69B8" w:rsidRDefault="00540755">
                          <w:pPr>
                            <w:snapToGrid w:val="0"/>
                            <w:contextualSpacing/>
                            <w:rPr>
                              <w:rFonts w:asciiTheme="majorHAnsi" w:hAnsiTheme="majorHAnsi"/>
                              <w:color w:val="808080" w:themeColor="background1" w:themeShade="80"/>
                            </w:rPr>
                          </w:pPr>
                          <w:r w:rsidRPr="00E31796">
                            <w:rPr>
                              <w:rFonts w:asciiTheme="majorHAnsi" w:hAnsiTheme="majorHAnsi"/>
                              <w:color w:val="808080" w:themeColor="background1" w:themeShade="80"/>
                              <w:sz w:val="24"/>
                            </w:rPr>
                            <w:t>Quels usages pour les jeux électroniques en classe ?</w:t>
                          </w:r>
                        </w:p>
                      </w:sdtContent>
                    </w:sdt>
                  </w:txbxContent>
                </v:textbox>
                <w10:wrap anchorx="page" anchory="page"/>
              </v:rect>
            </w:pict>
          </w:r>
          <w:r w:rsidR="001E69B8">
            <w:br w:type="page"/>
          </w:r>
          <w:r w:rsidR="00CE0776" w:rsidRPr="00EB739D">
            <w:rPr>
              <w:rStyle w:val="proprit"/>
            </w:rPr>
            <w:lastRenderedPageBreak/>
            <w:t>Titre de l’article</w:t>
          </w:r>
          <w:r w:rsidR="00CE0776">
            <w:tab/>
          </w:r>
          <w:r w:rsidR="00A27818">
            <w:t xml:space="preserve">: </w:t>
          </w:r>
          <w:r w:rsidR="00A27818" w:rsidRPr="00A27818">
            <w:t>Quels usages pour les jeux électroniques en classe ?</w:t>
          </w:r>
        </w:p>
        <w:p w:rsidR="00A27818" w:rsidRDefault="00A27818" w:rsidP="00A27818">
          <w:r w:rsidRPr="00EB739D">
            <w:rPr>
              <w:rStyle w:val="proprit"/>
            </w:rPr>
            <w:t>Auteurs</w:t>
          </w:r>
          <w:r w:rsidR="00CE0776">
            <w:tab/>
          </w:r>
          <w:r w:rsidR="00CE0776">
            <w:tab/>
          </w:r>
          <w:r>
            <w:t xml:space="preserve">: Patricia </w:t>
          </w:r>
          <w:proofErr w:type="spellStart"/>
          <w:r>
            <w:t>Wastiau</w:t>
          </w:r>
          <w:proofErr w:type="spellEnd"/>
          <w:r>
            <w:t>, Caroline Kearney, Wouter Van den Berghe</w:t>
          </w:r>
        </w:p>
        <w:p w:rsidR="00BB4851" w:rsidRDefault="00BB4851" w:rsidP="00A27818">
          <w:pPr>
            <w:rPr>
              <w:rStyle w:val="proprit"/>
            </w:rPr>
          </w:pPr>
        </w:p>
        <w:p w:rsidR="00347254" w:rsidRDefault="00A27818" w:rsidP="00A27818">
          <w:pPr>
            <w:rPr>
              <w:rStyle w:val="proprit"/>
            </w:rPr>
          </w:pPr>
          <w:r w:rsidRPr="00EB739D">
            <w:rPr>
              <w:rStyle w:val="proprit"/>
            </w:rPr>
            <w:t>Contexte de la recherche</w:t>
          </w:r>
        </w:p>
        <w:p w:rsidR="00347254" w:rsidRDefault="00347254" w:rsidP="00A27818">
          <w:r>
            <w:t>Cette étude a été réalisée dans différents pays de l’Union Européenne.</w:t>
          </w:r>
        </w:p>
        <w:p w:rsidR="00EB739D" w:rsidRDefault="00AE41C1" w:rsidP="00A27818">
          <w:r>
            <w:t>La période d’étude s’étend</w:t>
          </w:r>
          <w:r w:rsidR="00320AF9">
            <w:t xml:space="preserve"> du </w:t>
          </w:r>
          <w:r w:rsidR="00320AF9" w:rsidRPr="00320AF9">
            <w:t>printemps 2008 au printemps 2009</w:t>
          </w:r>
          <w:r w:rsidR="00D97673">
            <w:t>, et porte sur l’u</w:t>
          </w:r>
          <w:r w:rsidR="00EB739D">
            <w:t xml:space="preserve">tilisation des jeux </w:t>
          </w:r>
          <w:r w:rsidR="00AB077C">
            <w:t>vidéo</w:t>
          </w:r>
          <w:r w:rsidR="00EB739D">
            <w:t xml:space="preserve"> dans les écoles</w:t>
          </w:r>
          <w:r w:rsidR="00575A7B">
            <w:t xml:space="preserve"> (du primaire au secondaire)</w:t>
          </w:r>
          <w:r w:rsidR="00347254">
            <w:t>.</w:t>
          </w:r>
        </w:p>
        <w:p w:rsidR="00A27818" w:rsidRDefault="00C50CE1" w:rsidP="00481990">
          <w:pPr>
            <w:pStyle w:val="Titre2"/>
            <w:rPr>
              <w:rFonts w:ascii="Arial" w:eastAsiaTheme="minorHAnsi" w:hAnsi="Arial" w:cstheme="minorBidi"/>
              <w:b w:val="0"/>
              <w:bCs w:val="0"/>
              <w:color w:val="404040" w:themeColor="text1" w:themeTint="BF"/>
              <w:sz w:val="20"/>
              <w:szCs w:val="24"/>
            </w:rPr>
          </w:pPr>
          <w:r w:rsidRPr="00BC2696">
            <w:t>Problématique</w:t>
          </w:r>
        </w:p>
        <w:p w:rsidR="00481990" w:rsidRPr="00481990" w:rsidRDefault="00A67C04" w:rsidP="00481990">
          <w:r>
            <w:t>Faut il introduire les jeux vidéos comme outil pédagogique dans les écoles, comment cette expérience est elle vaincue par les élèves, les enseignants et les parents ?</w:t>
          </w:r>
        </w:p>
        <w:p w:rsidR="00437B8F" w:rsidRDefault="00A27818" w:rsidP="00BC2696">
          <w:pPr>
            <w:pStyle w:val="Titre2"/>
          </w:pPr>
          <w:r w:rsidRPr="00BC2696">
            <w:t>Méthodologie</w:t>
          </w:r>
        </w:p>
        <w:p w:rsidR="005A4AF6" w:rsidRDefault="005A4AF6" w:rsidP="005A4AF6">
          <w:r>
            <w:t xml:space="preserve">Le document est un résumé de différentes expériences qui ont eu lieu dans </w:t>
          </w:r>
          <w:proofErr w:type="gramStart"/>
          <w:r>
            <w:t>diverses</w:t>
          </w:r>
          <w:proofErr w:type="gramEnd"/>
          <w:r>
            <w:t xml:space="preserve"> pays de l’UE.</w:t>
          </w:r>
        </w:p>
        <w:p w:rsidR="005A4AF6" w:rsidRDefault="005A4AF6" w:rsidP="005A4AF6">
          <w:r>
            <w:t>Le protocole de chacune de ces expériences</w:t>
          </w:r>
          <w:r w:rsidR="004C3351">
            <w:t xml:space="preserve"> y est</w:t>
          </w:r>
          <w:r>
            <w:t xml:space="preserve"> décrit</w:t>
          </w:r>
          <w:r w:rsidR="004C3351">
            <w:t> :</w:t>
          </w:r>
        </w:p>
        <w:p w:rsidR="00A31759" w:rsidRDefault="008F52B8" w:rsidP="00DC3070">
          <w:pPr>
            <w:pStyle w:val="Paragraphedeliste"/>
            <w:numPr>
              <w:ilvl w:val="0"/>
              <w:numId w:val="12"/>
            </w:numPr>
          </w:pPr>
          <w:proofErr w:type="spellStart"/>
          <w:r w:rsidRPr="00055D33">
            <w:rPr>
              <w:b/>
            </w:rPr>
            <w:t>Højby</w:t>
          </w:r>
          <w:proofErr w:type="spellEnd"/>
          <w:r>
            <w:t xml:space="preserve"> (</w:t>
          </w:r>
          <w:r w:rsidRPr="00055D33">
            <w:rPr>
              <w:i/>
            </w:rPr>
            <w:t>Danemark</w:t>
          </w:r>
          <w:proofErr w:type="gramStart"/>
          <w:r>
            <w:t>)</w:t>
          </w:r>
          <w:proofErr w:type="gramEnd"/>
          <w:r w:rsidR="00D91140">
            <w:br/>
            <w:t>Utilisation des jeux vidéos comme support de cours (au même titre qu’un livre)</w:t>
          </w:r>
          <w:r w:rsidR="00B441D7">
            <w:t>.</w:t>
          </w:r>
        </w:p>
        <w:p w:rsidR="00A31759" w:rsidRDefault="00A31759" w:rsidP="00A31759">
          <w:pPr>
            <w:pStyle w:val="Paragraphedeliste"/>
            <w:numPr>
              <w:ilvl w:val="0"/>
              <w:numId w:val="12"/>
            </w:numPr>
          </w:pPr>
          <w:r w:rsidRPr="00055D33">
            <w:rPr>
              <w:b/>
            </w:rPr>
            <w:t xml:space="preserve">The </w:t>
          </w:r>
          <w:proofErr w:type="spellStart"/>
          <w:r w:rsidRPr="00055D33">
            <w:rPr>
              <w:b/>
            </w:rPr>
            <w:t>Consolarium</w:t>
          </w:r>
          <w:proofErr w:type="spellEnd"/>
          <w:r>
            <w:t xml:space="preserve"> (</w:t>
          </w:r>
          <w:r w:rsidR="00055D33">
            <w:rPr>
              <w:i/>
            </w:rPr>
            <w:t>E</w:t>
          </w:r>
          <w:r w:rsidRPr="00055D33">
            <w:rPr>
              <w:i/>
            </w:rPr>
            <w:t>cosse</w:t>
          </w:r>
          <w:r w:rsidR="000716FB">
            <w:rPr>
              <w:i/>
            </w:rPr>
            <w:t>, Royaume-Uni</w:t>
          </w:r>
          <w:proofErr w:type="gramStart"/>
          <w:r>
            <w:t>)</w:t>
          </w:r>
          <w:proofErr w:type="gramEnd"/>
          <w:r w:rsidR="00FC707C">
            <w:br/>
            <w:t>Comparaison entre deux groupes</w:t>
          </w:r>
          <w:r w:rsidR="0091577A">
            <w:t xml:space="preserve"> d’</w:t>
          </w:r>
          <w:proofErr w:type="spellStart"/>
          <w:r w:rsidR="0091577A">
            <w:t>éléves</w:t>
          </w:r>
          <w:proofErr w:type="spellEnd"/>
          <w:r w:rsidR="00FC707C">
            <w:t> :</w:t>
          </w:r>
        </w:p>
        <w:p w:rsidR="00FC707C" w:rsidRDefault="00FC707C" w:rsidP="00FC707C">
          <w:pPr>
            <w:pStyle w:val="Paragraphedeliste"/>
            <w:numPr>
              <w:ilvl w:val="1"/>
              <w:numId w:val="12"/>
            </w:numPr>
          </w:pPr>
          <w:r>
            <w:t>Groupe témoin</w:t>
          </w:r>
        </w:p>
        <w:p w:rsidR="00FC707C" w:rsidRDefault="00FC707C" w:rsidP="00FC707C">
          <w:pPr>
            <w:pStyle w:val="Paragraphedeliste"/>
            <w:numPr>
              <w:ilvl w:val="1"/>
              <w:numId w:val="12"/>
            </w:numPr>
          </w:pPr>
          <w:r>
            <w:t xml:space="preserve">Groupe qui a joué au </w:t>
          </w:r>
          <w:r w:rsidRPr="00FC707C">
            <w:t xml:space="preserve">Programme d’Entraînement Cérébral du Dr. </w:t>
          </w:r>
          <w:proofErr w:type="spellStart"/>
          <w:r w:rsidRPr="00FC707C">
            <w:t>Kawashima</w:t>
          </w:r>
          <w:proofErr w:type="spellEnd"/>
          <w:r w:rsidRPr="00FC707C">
            <w:t xml:space="preserve"> et </w:t>
          </w:r>
          <w:proofErr w:type="spellStart"/>
          <w:r w:rsidRPr="00FC707C">
            <w:t>Nintendogs</w:t>
          </w:r>
          <w:proofErr w:type="spellEnd"/>
        </w:p>
        <w:p w:rsidR="00DC3070" w:rsidRDefault="0064187B" w:rsidP="00DC3070">
          <w:pPr>
            <w:pStyle w:val="Paragraphedeliste"/>
            <w:numPr>
              <w:ilvl w:val="0"/>
              <w:numId w:val="12"/>
            </w:numPr>
          </w:pPr>
          <w:proofErr w:type="spellStart"/>
          <w:r w:rsidRPr="00055D33">
            <w:rPr>
              <w:b/>
            </w:rPr>
            <w:t>Farm</w:t>
          </w:r>
          <w:proofErr w:type="spellEnd"/>
          <w:r w:rsidRPr="00055D33">
            <w:rPr>
              <w:b/>
            </w:rPr>
            <w:t xml:space="preserve"> Frenzy</w:t>
          </w:r>
          <w:r w:rsidRPr="0064187B">
            <w:t xml:space="preserve"> </w:t>
          </w:r>
          <w:r>
            <w:t>(</w:t>
          </w:r>
          <w:r w:rsidRPr="00055D33">
            <w:rPr>
              <w:i/>
            </w:rPr>
            <w:t>France</w:t>
          </w:r>
          <w:proofErr w:type="gramStart"/>
          <w:r>
            <w:t>)</w:t>
          </w:r>
          <w:proofErr w:type="gramEnd"/>
          <w:r w:rsidR="00F14D66">
            <w:br/>
            <w:t xml:space="preserve">Effet des jeux vidéos sur la </w:t>
          </w:r>
          <w:proofErr w:type="spellStart"/>
          <w:r w:rsidR="00F14D66">
            <w:t>sociabilisation</w:t>
          </w:r>
          <w:proofErr w:type="spellEnd"/>
          <w:r w:rsidR="00F14D66">
            <w:t xml:space="preserve"> des </w:t>
          </w:r>
          <w:r w:rsidR="002A2FF0">
            <w:t>élèves</w:t>
          </w:r>
          <w:r w:rsidR="00F14D66">
            <w:t xml:space="preserve"> en difficulté.</w:t>
          </w:r>
        </w:p>
        <w:p w:rsidR="0064187B" w:rsidRDefault="00DC3070" w:rsidP="00A31759">
          <w:pPr>
            <w:pStyle w:val="Paragraphedeliste"/>
            <w:numPr>
              <w:ilvl w:val="0"/>
              <w:numId w:val="12"/>
            </w:numPr>
          </w:pPr>
          <w:r w:rsidRPr="00055D33">
            <w:rPr>
              <w:b/>
            </w:rPr>
            <w:t>Projet DANT</w:t>
          </w:r>
          <w:r>
            <w:t xml:space="preserve"> (</w:t>
          </w:r>
          <w:r w:rsidRPr="00055D33">
            <w:rPr>
              <w:i/>
            </w:rPr>
            <w:t>Italie</w:t>
          </w:r>
          <w:r>
            <w:t>)</w:t>
          </w:r>
        </w:p>
        <w:p w:rsidR="004C3351" w:rsidRDefault="00A31759" w:rsidP="00A31759">
          <w:pPr>
            <w:pStyle w:val="Paragraphedeliste"/>
            <w:numPr>
              <w:ilvl w:val="0"/>
              <w:numId w:val="12"/>
            </w:numPr>
          </w:pPr>
          <w:proofErr w:type="spellStart"/>
          <w:r w:rsidRPr="00055D33">
            <w:rPr>
              <w:b/>
            </w:rPr>
            <w:t>Games</w:t>
          </w:r>
          <w:proofErr w:type="spellEnd"/>
          <w:r w:rsidRPr="00055D33">
            <w:rPr>
              <w:b/>
            </w:rPr>
            <w:t xml:space="preserve"> Atelier </w:t>
          </w:r>
          <w:r>
            <w:t>(</w:t>
          </w:r>
          <w:r w:rsidRPr="00055D33">
            <w:rPr>
              <w:i/>
            </w:rPr>
            <w:t>Pays-Bas</w:t>
          </w:r>
          <w:r>
            <w:t>)</w:t>
          </w:r>
        </w:p>
        <w:p w:rsidR="005A4AF6" w:rsidRDefault="005A4AF6" w:rsidP="005A4AF6">
          <w:r>
            <w:t>Ensuite, on peut y lire les résultats de sondages et interviews d’enseignants.</w:t>
          </w:r>
        </w:p>
        <w:p w:rsidR="00A27818" w:rsidRDefault="00401B01" w:rsidP="005B7BE7">
          <w:pPr>
            <w:pStyle w:val="Titre2"/>
          </w:pPr>
          <w:r w:rsidRPr="00BC2696">
            <w:t>Résultat</w:t>
          </w:r>
        </w:p>
        <w:p w:rsidR="00F851E5" w:rsidRDefault="00F851E5" w:rsidP="00F851E5">
          <w:r>
            <w:t xml:space="preserve">Les jeux </w:t>
          </w:r>
          <w:proofErr w:type="gramStart"/>
          <w:r>
            <w:t>vidéos</w:t>
          </w:r>
          <w:proofErr w:type="gramEnd"/>
          <w:r>
            <w:t xml:space="preserve"> sont efficaces en Mathématiques et en Langues, elle permette par exemple d’améliorer la précision de 50% et de multiplier la vitesse de calcul par deux.</w:t>
          </w:r>
        </w:p>
        <w:p w:rsidR="005B7BE7" w:rsidRDefault="00F851E5" w:rsidP="00A80168">
          <w:r>
            <w:t>De plus, les élèves les plus faibles dont plus de progrès que les doués.</w:t>
          </w:r>
        </w:p>
        <w:p w:rsidR="00AF6813" w:rsidRDefault="00A80168" w:rsidP="00A80168">
          <w:r w:rsidRPr="00A80168">
            <w:t xml:space="preserve">Dans la pratique, </w:t>
          </w:r>
          <w:r w:rsidR="00AF6813">
            <w:t>les enseignants</w:t>
          </w:r>
          <w:r w:rsidRPr="00A80168">
            <w:t xml:space="preserve"> constatent </w:t>
          </w:r>
          <w:r w:rsidR="00AF6813">
            <w:t>l’efficacité du jeu vidéo</w:t>
          </w:r>
          <w:r w:rsidRPr="00A80168">
            <w:t xml:space="preserve"> au niveau du regain de motivation obtenu et des progrès dans certaines compétences (sociales, intellectuelles, spatiotemporelles</w:t>
          </w:r>
          <w:r w:rsidR="00AF6813">
            <w:t>).</w:t>
          </w:r>
        </w:p>
        <w:p w:rsidR="00A80168" w:rsidRDefault="00A80168" w:rsidP="00A80168">
          <w:r w:rsidRPr="00A80168">
            <w:t>Ils sont</w:t>
          </w:r>
          <w:r w:rsidR="00AF6813">
            <w:t xml:space="preserve"> </w:t>
          </w:r>
          <w:r w:rsidRPr="00A80168">
            <w:t>moins convaincus en ce qui concerne le sens critique et les acquis propres à la matière enseignée.</w:t>
          </w:r>
        </w:p>
        <w:p w:rsidR="00CE1E9C" w:rsidRDefault="00CE1E9C" w:rsidP="00A80168"/>
        <w:p w:rsidR="00CE1E9C" w:rsidRPr="005B7BE7" w:rsidRDefault="00CE1E9C" w:rsidP="00CE1E9C">
          <w:r>
            <w:t>Cette étude a aussi mis en lumière les difficultés de mise en place d’une telle pédagogie : difficulté de les intégrer dans le programme, manque d’équipement et opinion des autres enseignants et des parents.</w:t>
          </w:r>
        </w:p>
        <w:p w:rsidR="00213853" w:rsidRDefault="00A27818" w:rsidP="001579A3">
          <w:pPr>
            <w:pStyle w:val="Titre2"/>
          </w:pPr>
          <w:r w:rsidRPr="00BC2696">
            <w:t>Conclusion</w:t>
          </w:r>
        </w:p>
        <w:p w:rsidR="001579A3" w:rsidRDefault="001579A3" w:rsidP="001579A3">
          <w:r>
            <w:t>Globalement, l’opinion des enseignants qui utilisent les jeux électroniques est positive, voire très positive quant à l’impact sur l’apprentissage de leurs élèves. L’effet sur la motivation arrive en tête, suivi de très près par l’appui effectif aux élèves en difficulté (non pas en tant que groupe avec lequel les jeux sont utilisés de façon ad hoc, mais en tant qu’individus faisant partie de n’importe quelle classe).</w:t>
          </w:r>
        </w:p>
        <w:p w:rsidR="00C86496" w:rsidRPr="001579A3" w:rsidRDefault="00C86496" w:rsidP="001579A3"/>
        <w:p w:rsidR="00A27818" w:rsidRDefault="00A27818" w:rsidP="00A27818">
          <w:r w:rsidRPr="00EB739D">
            <w:rPr>
              <w:rStyle w:val="proprit"/>
            </w:rPr>
            <w:t>Remarques (questions restants ouvertes, liens avec ma recherche…)</w:t>
          </w:r>
          <w:r>
            <w:t xml:space="preserve"> :</w:t>
          </w:r>
        </w:p>
        <w:p w:rsidR="00A27818" w:rsidRDefault="00E45DF9" w:rsidP="00A27818">
          <w:r>
            <w:t>Ce document est un peu trop candide</w:t>
          </w:r>
          <w:r w:rsidR="004F3094">
            <w:t>, il n’y a aucune réflexion sur les effet</w:t>
          </w:r>
          <w:r w:rsidR="00E50D33">
            <w:t>s</w:t>
          </w:r>
          <w:r w:rsidR="004F3094">
            <w:t xml:space="preserve"> néfastes que peuvent avoir les jeux vidéo sur les élèves</w:t>
          </w:r>
          <w:r w:rsidR="00360116">
            <w:t>.</w:t>
          </w:r>
        </w:p>
        <w:p w:rsidR="00540D99" w:rsidRDefault="00540D99" w:rsidP="00A27818">
          <w:r>
            <w:t>Ils motivent les élèves sans pour autant avoir un lien direct avec la matière enseignée, alors que cela constitue une priorité.</w:t>
          </w:r>
        </w:p>
        <w:p w:rsidR="00E45DF9" w:rsidRDefault="00E45DF9" w:rsidP="00A27818"/>
        <w:p w:rsidR="0055411E" w:rsidRPr="0055411E" w:rsidRDefault="00BE5250" w:rsidP="00A27818">
          <w:r>
            <w:rPr>
              <w:rStyle w:val="proprit"/>
            </w:rPr>
            <w:t>Référence</w:t>
          </w:r>
          <w:r w:rsidR="00A27818" w:rsidRPr="00EB739D">
            <w:rPr>
              <w:rStyle w:val="proprit"/>
            </w:rPr>
            <w:t xml:space="preserve"> compl</w:t>
          </w:r>
          <w:r w:rsidR="009073EB">
            <w:rPr>
              <w:rStyle w:val="proprit"/>
            </w:rPr>
            <w:t>ète</w:t>
          </w:r>
          <w:r w:rsidR="00A27818" w:rsidRPr="00EB739D">
            <w:rPr>
              <w:rStyle w:val="proprit"/>
            </w:rPr>
            <w:t xml:space="preserve"> </w:t>
          </w:r>
          <w:r w:rsidR="009073EB">
            <w:rPr>
              <w:rStyle w:val="proprit"/>
            </w:rPr>
            <w:t>d</w:t>
          </w:r>
          <w:r w:rsidR="00A27818" w:rsidRPr="00EB739D">
            <w:rPr>
              <w:rStyle w:val="proprit"/>
            </w:rPr>
            <w:t>e l'article</w:t>
          </w:r>
          <w:r w:rsidR="00A27818">
            <w:t xml:space="preserve"> : </w:t>
          </w:r>
          <w:hyperlink r:id="rId7" w:history="1">
            <w:r w:rsidR="00F976B8" w:rsidRPr="00F56C3D">
              <w:rPr>
                <w:rStyle w:val="Lienhypertexte"/>
              </w:rPr>
              <w:t>http://games.eun.org/upload/gis-synthesis_report_fr.pdf</w:t>
            </w:r>
          </w:hyperlink>
          <w:r w:rsidR="00F976B8">
            <w:t>.</w:t>
          </w:r>
        </w:p>
      </w:sdtContent>
    </w:sdt>
    <w:p w:rsidR="001E69B8" w:rsidRPr="0055411E" w:rsidRDefault="001E69B8" w:rsidP="0055411E"/>
    <w:sectPr w:rsidR="001E69B8" w:rsidRPr="0055411E" w:rsidSect="001E69B8">
      <w:pgSz w:w="11900" w:h="16840"/>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4CE650"/>
    <w:lvl w:ilvl="0">
      <w:start w:val="1"/>
      <w:numFmt w:val="decimal"/>
      <w:lvlText w:val="%1."/>
      <w:lvlJc w:val="left"/>
      <w:pPr>
        <w:tabs>
          <w:tab w:val="num" w:pos="1492"/>
        </w:tabs>
        <w:ind w:left="1492" w:hanging="360"/>
      </w:pPr>
    </w:lvl>
  </w:abstractNum>
  <w:abstractNum w:abstractNumId="1">
    <w:nsid w:val="FFFFFF7D"/>
    <w:multiLevelType w:val="singleLevel"/>
    <w:tmpl w:val="590CA924"/>
    <w:lvl w:ilvl="0">
      <w:start w:val="1"/>
      <w:numFmt w:val="decimal"/>
      <w:lvlText w:val="%1."/>
      <w:lvlJc w:val="left"/>
      <w:pPr>
        <w:tabs>
          <w:tab w:val="num" w:pos="1209"/>
        </w:tabs>
        <w:ind w:left="1209" w:hanging="360"/>
      </w:pPr>
    </w:lvl>
  </w:abstractNum>
  <w:abstractNum w:abstractNumId="2">
    <w:nsid w:val="FFFFFF7E"/>
    <w:multiLevelType w:val="singleLevel"/>
    <w:tmpl w:val="CC64A7B6"/>
    <w:lvl w:ilvl="0">
      <w:start w:val="1"/>
      <w:numFmt w:val="decimal"/>
      <w:lvlText w:val="%1."/>
      <w:lvlJc w:val="left"/>
      <w:pPr>
        <w:tabs>
          <w:tab w:val="num" w:pos="926"/>
        </w:tabs>
        <w:ind w:left="926" w:hanging="360"/>
      </w:pPr>
    </w:lvl>
  </w:abstractNum>
  <w:abstractNum w:abstractNumId="3">
    <w:nsid w:val="FFFFFF7F"/>
    <w:multiLevelType w:val="singleLevel"/>
    <w:tmpl w:val="07C455D8"/>
    <w:lvl w:ilvl="0">
      <w:start w:val="1"/>
      <w:numFmt w:val="decimal"/>
      <w:lvlText w:val="%1."/>
      <w:lvlJc w:val="left"/>
      <w:pPr>
        <w:tabs>
          <w:tab w:val="num" w:pos="643"/>
        </w:tabs>
        <w:ind w:left="643" w:hanging="360"/>
      </w:pPr>
    </w:lvl>
  </w:abstractNum>
  <w:abstractNum w:abstractNumId="4">
    <w:nsid w:val="FFFFFF80"/>
    <w:multiLevelType w:val="singleLevel"/>
    <w:tmpl w:val="2D0230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6ABA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683C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047D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68ED2E"/>
    <w:lvl w:ilvl="0">
      <w:start w:val="1"/>
      <w:numFmt w:val="decimal"/>
      <w:lvlText w:val="%1."/>
      <w:lvlJc w:val="left"/>
      <w:pPr>
        <w:tabs>
          <w:tab w:val="num" w:pos="360"/>
        </w:tabs>
        <w:ind w:left="360" w:hanging="360"/>
      </w:pPr>
    </w:lvl>
  </w:abstractNum>
  <w:abstractNum w:abstractNumId="9">
    <w:nsid w:val="FFFFFF89"/>
    <w:multiLevelType w:val="singleLevel"/>
    <w:tmpl w:val="3C82C092"/>
    <w:lvl w:ilvl="0">
      <w:start w:val="1"/>
      <w:numFmt w:val="bullet"/>
      <w:lvlText w:val=""/>
      <w:lvlJc w:val="left"/>
      <w:pPr>
        <w:tabs>
          <w:tab w:val="num" w:pos="360"/>
        </w:tabs>
        <w:ind w:left="360" w:hanging="360"/>
      </w:pPr>
      <w:rPr>
        <w:rFonts w:ascii="Symbol" w:hAnsi="Symbol" w:hint="default"/>
      </w:rPr>
    </w:lvl>
  </w:abstractNum>
  <w:abstractNum w:abstractNumId="10">
    <w:nsid w:val="0EA920B5"/>
    <w:multiLevelType w:val="hybridMultilevel"/>
    <w:tmpl w:val="E1BA5C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D227BB"/>
    <w:multiLevelType w:val="hybridMultilevel"/>
    <w:tmpl w:val="CA281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1"/>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E69B8"/>
    <w:rsid w:val="00003D32"/>
    <w:rsid w:val="00037232"/>
    <w:rsid w:val="00055D33"/>
    <w:rsid w:val="000716FB"/>
    <w:rsid w:val="0007662E"/>
    <w:rsid w:val="00090831"/>
    <w:rsid w:val="000B37DC"/>
    <w:rsid w:val="000C0B84"/>
    <w:rsid w:val="00125212"/>
    <w:rsid w:val="00141871"/>
    <w:rsid w:val="001579A3"/>
    <w:rsid w:val="001C4804"/>
    <w:rsid w:val="001E69B8"/>
    <w:rsid w:val="00213853"/>
    <w:rsid w:val="00290C20"/>
    <w:rsid w:val="0029155C"/>
    <w:rsid w:val="002A2FF0"/>
    <w:rsid w:val="002A53E0"/>
    <w:rsid w:val="00320AF9"/>
    <w:rsid w:val="00324FFA"/>
    <w:rsid w:val="003266F1"/>
    <w:rsid w:val="00342B50"/>
    <w:rsid w:val="00343DB7"/>
    <w:rsid w:val="00347254"/>
    <w:rsid w:val="00360116"/>
    <w:rsid w:val="0040175D"/>
    <w:rsid w:val="00401B01"/>
    <w:rsid w:val="00417E6B"/>
    <w:rsid w:val="00437B8F"/>
    <w:rsid w:val="004660FB"/>
    <w:rsid w:val="00481990"/>
    <w:rsid w:val="004A6D37"/>
    <w:rsid w:val="004C3351"/>
    <w:rsid w:val="004C5094"/>
    <w:rsid w:val="004F3094"/>
    <w:rsid w:val="00540755"/>
    <w:rsid w:val="00540D99"/>
    <w:rsid w:val="0055411E"/>
    <w:rsid w:val="00575A7B"/>
    <w:rsid w:val="005A4AF6"/>
    <w:rsid w:val="005B2A7E"/>
    <w:rsid w:val="005B7BE7"/>
    <w:rsid w:val="00601ECA"/>
    <w:rsid w:val="0063395E"/>
    <w:rsid w:val="0064187B"/>
    <w:rsid w:val="00651433"/>
    <w:rsid w:val="006716A3"/>
    <w:rsid w:val="00676443"/>
    <w:rsid w:val="006A3049"/>
    <w:rsid w:val="006B0349"/>
    <w:rsid w:val="00701EC8"/>
    <w:rsid w:val="00751035"/>
    <w:rsid w:val="007D2CC0"/>
    <w:rsid w:val="007E0E77"/>
    <w:rsid w:val="00893317"/>
    <w:rsid w:val="008B6D87"/>
    <w:rsid w:val="008C2CAD"/>
    <w:rsid w:val="008F52B8"/>
    <w:rsid w:val="009073EB"/>
    <w:rsid w:val="0091577A"/>
    <w:rsid w:val="009719A3"/>
    <w:rsid w:val="00982745"/>
    <w:rsid w:val="009F0CE0"/>
    <w:rsid w:val="00A27818"/>
    <w:rsid w:val="00A31759"/>
    <w:rsid w:val="00A34CD6"/>
    <w:rsid w:val="00A4775B"/>
    <w:rsid w:val="00A67C04"/>
    <w:rsid w:val="00A712C9"/>
    <w:rsid w:val="00A80168"/>
    <w:rsid w:val="00AB077C"/>
    <w:rsid w:val="00AC5FF6"/>
    <w:rsid w:val="00AE41C1"/>
    <w:rsid w:val="00AF3231"/>
    <w:rsid w:val="00AF6813"/>
    <w:rsid w:val="00B32B55"/>
    <w:rsid w:val="00B40689"/>
    <w:rsid w:val="00B441D7"/>
    <w:rsid w:val="00BB4851"/>
    <w:rsid w:val="00BC2696"/>
    <w:rsid w:val="00BE5250"/>
    <w:rsid w:val="00C24FB3"/>
    <w:rsid w:val="00C50CE1"/>
    <w:rsid w:val="00C515DD"/>
    <w:rsid w:val="00C86496"/>
    <w:rsid w:val="00C92226"/>
    <w:rsid w:val="00C94DDD"/>
    <w:rsid w:val="00CB006D"/>
    <w:rsid w:val="00CC4289"/>
    <w:rsid w:val="00CE0776"/>
    <w:rsid w:val="00CE1E9C"/>
    <w:rsid w:val="00D54F39"/>
    <w:rsid w:val="00D76D51"/>
    <w:rsid w:val="00D8069D"/>
    <w:rsid w:val="00D91140"/>
    <w:rsid w:val="00D97673"/>
    <w:rsid w:val="00DC3070"/>
    <w:rsid w:val="00DD2BB0"/>
    <w:rsid w:val="00DF31B5"/>
    <w:rsid w:val="00E268A5"/>
    <w:rsid w:val="00E31796"/>
    <w:rsid w:val="00E45DF9"/>
    <w:rsid w:val="00E50D33"/>
    <w:rsid w:val="00EB739D"/>
    <w:rsid w:val="00EF2C93"/>
    <w:rsid w:val="00F14D66"/>
    <w:rsid w:val="00F61262"/>
    <w:rsid w:val="00F74CA5"/>
    <w:rsid w:val="00F851E5"/>
    <w:rsid w:val="00F976B8"/>
    <w:rsid w:val="00FC707C"/>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71b768,#4e7f38"/>
      <o:colormenu v:ext="edit" fillcolor="#4e7f38" strokecolor="none [3069]"/>
    </o:shapedefaults>
    <o:shapelayout v:ext="edit">
      <o:idmap v:ext="edit" data="1"/>
      <o:rules v:ext="edit">
        <o:r id="V:Rule3" type="connector" idref="#_x0000_s1048"/>
        <o:r id="V:Rule4" type="connector" idref="#_x0000_s1040"/>
      </o:rules>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2A53E0"/>
    <w:pPr>
      <w:spacing w:after="120" w:line="288" w:lineRule="auto"/>
    </w:pPr>
    <w:rPr>
      <w:rFonts w:ascii="Arial" w:hAnsi="Arial"/>
      <w:color w:val="404040" w:themeColor="text1" w:themeTint="BF"/>
      <w:sz w:val="20"/>
    </w:rPr>
  </w:style>
  <w:style w:type="paragraph" w:styleId="Titre1">
    <w:name w:val="heading 1"/>
    <w:basedOn w:val="Normal"/>
    <w:next w:val="Normal"/>
    <w:link w:val="Titre1Car"/>
    <w:uiPriority w:val="9"/>
    <w:qFormat/>
    <w:rsid w:val="007E0E77"/>
    <w:pPr>
      <w:keepNext/>
      <w:keepLines/>
      <w:spacing w:before="480" w:after="0"/>
      <w:outlineLvl w:val="0"/>
    </w:pPr>
    <w:rPr>
      <w:rFonts w:asciiTheme="majorHAnsi" w:eastAsiaTheme="majorEastAsia" w:hAnsiTheme="majorHAnsi" w:cstheme="majorBidi"/>
      <w:b/>
      <w:bCs/>
      <w:color w:val="4E7F38"/>
      <w:sz w:val="48"/>
      <w:szCs w:val="32"/>
    </w:rPr>
  </w:style>
  <w:style w:type="paragraph" w:styleId="Titre2">
    <w:name w:val="heading 2"/>
    <w:basedOn w:val="Normal"/>
    <w:next w:val="Normal"/>
    <w:link w:val="Titre2Car"/>
    <w:uiPriority w:val="9"/>
    <w:unhideWhenUsed/>
    <w:qFormat/>
    <w:rsid w:val="00C92226"/>
    <w:pPr>
      <w:keepNext/>
      <w:keepLines/>
      <w:spacing w:before="360" w:after="0"/>
      <w:outlineLvl w:val="1"/>
    </w:pPr>
    <w:rPr>
      <w:rFonts w:asciiTheme="majorHAnsi" w:eastAsiaTheme="majorEastAsia" w:hAnsiTheme="majorHAnsi" w:cstheme="majorBidi"/>
      <w:b/>
      <w:bCs/>
      <w:color w:val="71B768"/>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0E77"/>
    <w:rPr>
      <w:rFonts w:asciiTheme="majorHAnsi" w:eastAsiaTheme="majorEastAsia" w:hAnsiTheme="majorHAnsi" w:cstheme="majorBidi"/>
      <w:b/>
      <w:bCs/>
      <w:color w:val="4E7F38"/>
      <w:sz w:val="48"/>
      <w:szCs w:val="32"/>
    </w:rPr>
  </w:style>
  <w:style w:type="character" w:customStyle="1" w:styleId="Titre2Car">
    <w:name w:val="Titre 2 Car"/>
    <w:basedOn w:val="Policepardfaut"/>
    <w:link w:val="Titre2"/>
    <w:uiPriority w:val="9"/>
    <w:rsid w:val="00C92226"/>
    <w:rPr>
      <w:rFonts w:asciiTheme="majorHAnsi" w:eastAsiaTheme="majorEastAsia" w:hAnsiTheme="majorHAnsi" w:cstheme="majorBidi"/>
      <w:b/>
      <w:bCs/>
      <w:color w:val="71B768"/>
      <w:sz w:val="32"/>
      <w:szCs w:val="26"/>
    </w:rPr>
  </w:style>
  <w:style w:type="paragraph" w:customStyle="1" w:styleId="note">
    <w:name w:val="_note"/>
    <w:basedOn w:val="Normal"/>
    <w:next w:val="Normal"/>
    <w:qFormat/>
    <w:rsid w:val="00B32B55"/>
    <w:pPr>
      <w:pBdr>
        <w:top w:val="single" w:sz="2" w:space="5" w:color="D1F0C4"/>
        <w:left w:val="single" w:sz="2" w:space="5" w:color="D1F0C4"/>
        <w:bottom w:val="single" w:sz="2" w:space="5" w:color="D1F0C4"/>
        <w:right w:val="single" w:sz="2" w:space="5" w:color="D1F0C4"/>
      </w:pBdr>
      <w:shd w:val="clear" w:color="auto" w:fill="D1F0C4"/>
    </w:pPr>
    <w:rPr>
      <w:i/>
      <w:color w:val="595959" w:themeColor="text1" w:themeTint="A6"/>
    </w:rPr>
  </w:style>
  <w:style w:type="paragraph" w:styleId="Textedebulles">
    <w:name w:val="Balloon Text"/>
    <w:basedOn w:val="Normal"/>
    <w:link w:val="TextedebullesCar"/>
    <w:rsid w:val="00AF32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AF3231"/>
    <w:rPr>
      <w:rFonts w:ascii="Tahoma" w:hAnsi="Tahoma" w:cs="Tahoma"/>
      <w:color w:val="404040" w:themeColor="text1" w:themeTint="BF"/>
      <w:sz w:val="16"/>
      <w:szCs w:val="16"/>
    </w:rPr>
  </w:style>
  <w:style w:type="character" w:customStyle="1" w:styleId="proprit">
    <w:name w:val="_propriété"/>
    <w:basedOn w:val="Policepardfaut"/>
    <w:uiPriority w:val="1"/>
    <w:qFormat/>
    <w:rsid w:val="00EB739D"/>
    <w:rPr>
      <w:b/>
    </w:rPr>
  </w:style>
  <w:style w:type="paragraph" w:styleId="Paragraphedeliste">
    <w:name w:val="List Paragraph"/>
    <w:basedOn w:val="Normal"/>
    <w:rsid w:val="009719A3"/>
    <w:pPr>
      <w:ind w:left="720"/>
      <w:contextualSpacing/>
    </w:pPr>
  </w:style>
  <w:style w:type="character" w:styleId="Lienhypertexte">
    <w:name w:val="Hyperlink"/>
    <w:basedOn w:val="Policepardfaut"/>
    <w:rsid w:val="00F976B8"/>
    <w:rPr>
      <w:color w:val="76923C" w:themeColor="accent3" w:themeShade="B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mes.eun.org/upload/gis-synthesis_report_f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Quels usages pour les jeux électroniques en classe ?</Abstract>
  <CompanyAddress>Master 1 MIAGE – EIAH
rtert</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452</Words>
  <Characters>2492</Characters>
  <Application>Microsoft Office Word</Application>
  <DocSecurity>0</DocSecurity>
  <Lines>20</Lines>
  <Paragraphs>5</Paragraphs>
  <ScaleCrop>false</ScaleCrop>
  <Company>IUT Amiens</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article European Schoolnet</dc:title>
  <dc:subject/>
  <dc:creator>Vincent Paré</dc:creator>
  <cp:keywords/>
  <cp:lastModifiedBy>Vincent</cp:lastModifiedBy>
  <cp:revision>93</cp:revision>
  <dcterms:created xsi:type="dcterms:W3CDTF">2010-03-04T08:06:00Z</dcterms:created>
  <dcterms:modified xsi:type="dcterms:W3CDTF">2010-05-03T20:48:00Z</dcterms:modified>
</cp:coreProperties>
</file>